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6" w:rsidRPr="00B11266" w:rsidRDefault="00B11266" w:rsidP="00B11266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B11266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НАЦИОНАЛЬНО-КУЛЬТУРНАЯ АВТОНОМИЯ: РОССИЙСКАЯ МОДЕЛЬ, ТАТАРЫ И ЭТНОКУЛЬТУРНОЕ ОБРАЗОВАНИЕ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B1126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Федерика</w:t>
      </w:r>
      <w:proofErr w:type="spellEnd"/>
      <w:r w:rsidRPr="00B1126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B1126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Прина</w:t>
      </w:r>
      <w:proofErr w:type="spellEnd"/>
      <w:r w:rsidRPr="00B1126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Университет Глазго,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Лилибэнк</w:t>
      </w:r>
      <w:proofErr w:type="spellEnd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Гаденз</w:t>
      </w:r>
      <w:proofErr w:type="spellEnd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9 (9 </w:t>
      </w:r>
      <w:proofErr w:type="spellStart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Lilybank</w:t>
      </w:r>
      <w:proofErr w:type="spellEnd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Gardens</w:t>
      </w:r>
      <w:proofErr w:type="spellEnd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),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Соединенное Королевство, G12 8RZ, Шотландия, Глазго,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Federica.Prina@glasgow.ac.uk.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исследуются различия между оригинальной моделью культурно-национальной автономии (КНА), разработанной </w:t>
      </w:r>
      <w:proofErr w:type="spellStart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австромарксистами</w:t>
      </w:r>
      <w:proofErr w:type="spellEnd"/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конце XIX века, и тем, как она переосмыслена и воплощена в жизнь в постсоветской России. Показано, что в двух аспектах российская система КНА значительно отличается от оригинальной модели: во-первых, это ограниченность автономии в управлении национальными вопросами КНА в российской модели, во-вторых, отсутствие разделения власти между российским государством и его национальностями, что ограничивает возможности автономии последних в определении своего культурного предназначения. В частности, узкая интерпретация понятия «культура» в российской системе КНА приводит к исключению последней из процессов, связанных с формированием законодательной и социальной политики, затрагивающей интересы российских национальностей. В статье также рассматривается татарское этнокультурное образование, что позволяет обратить внимание на последствия конкретных выборов, которые делают более видимыми расхождения с оригинальной моделью.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Статья частично основана на данных, полученных в интервью с представителями культурных национальных автономий и конгрессов народов, а также общественными деятелями и учеными в России в 2010, 2011 и 2015 гг.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B11266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B11266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культурно-национальная автономия, этнокультурное образование, австромарксизм, Республика Татарстан, этнический федерализм, культурные права.</w:t>
      </w: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B11266" w:rsidRPr="00B11266" w:rsidRDefault="00B11266" w:rsidP="00B11266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B11266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B11266"/>
    <w:p w:rsidR="00B11266" w:rsidRDefault="00B11266">
      <w:hyperlink r:id="rId7" w:history="1">
        <w:r w:rsidRPr="002B4615">
          <w:rPr>
            <w:rStyle w:val="a3"/>
          </w:rPr>
          <w:t>https://kpfu.ru/nacionalno-kulturnaya-avtonomiya-rossijskaya.html</w:t>
        </w:r>
      </w:hyperlink>
    </w:p>
    <w:p w:rsidR="00B11266" w:rsidRDefault="00B11266">
      <w:hyperlink r:id="rId8" w:history="1">
        <w:r w:rsidRPr="002B4615">
          <w:rPr>
            <w:rStyle w:val="a3"/>
          </w:rPr>
          <w:t>https://kpfu.ru/portal/docs/F1609516965/12.pdf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B11266" w:rsidRPr="00B11266" w:rsidRDefault="00B11266" w:rsidP="00B11266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B11266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B11266" w:rsidRDefault="00B11266">
      <w:bookmarkStart w:id="0" w:name="_GoBack"/>
      <w:bookmarkEnd w:id="0"/>
    </w:p>
    <w:sectPr w:rsidR="00B11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0C11"/>
    <w:multiLevelType w:val="multilevel"/>
    <w:tmpl w:val="4C06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A9"/>
    <w:rsid w:val="00630516"/>
    <w:rsid w:val="00684CE9"/>
    <w:rsid w:val="00B11266"/>
    <w:rsid w:val="00B7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1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09516965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nacionalno-kulturnaya-avtonomiya-rossijskay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09516965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2018-07-17T12:40:00Z</dcterms:created>
  <dcterms:modified xsi:type="dcterms:W3CDTF">2018-07-17T12:41:00Z</dcterms:modified>
</cp:coreProperties>
</file>